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A2" w:rsidRDefault="00D82C7D" w:rsidP="00D82C7D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О</w:t>
      </w:r>
      <w:r w:rsidR="00990F3A" w:rsidRPr="002A2AAD">
        <w:rPr>
          <w:rFonts w:ascii="Times New Roman" w:hAnsi="Times New Roman"/>
          <w:b/>
          <w:sz w:val="32"/>
        </w:rPr>
        <w:t>тветы</w:t>
      </w:r>
    </w:p>
    <w:p w:rsidR="00990F3A" w:rsidRDefault="00990F3A" w:rsidP="00990F3A">
      <w:pPr>
        <w:jc w:val="center"/>
        <w:rPr>
          <w:rFonts w:ascii="Times New Roman" w:hAnsi="Times New Roman"/>
          <w:b/>
          <w:sz w:val="32"/>
        </w:rPr>
      </w:pPr>
      <w:r w:rsidRPr="002A2AAD">
        <w:rPr>
          <w:rFonts w:ascii="Times New Roman" w:hAnsi="Times New Roman"/>
          <w:b/>
          <w:sz w:val="32"/>
        </w:rPr>
        <w:t xml:space="preserve">на </w:t>
      </w:r>
      <w:r w:rsidR="00DF1DC5">
        <w:rPr>
          <w:rFonts w:ascii="Times New Roman" w:hAnsi="Times New Roman"/>
          <w:b/>
          <w:sz w:val="32"/>
        </w:rPr>
        <w:t>поступающие вопросы по докладам</w:t>
      </w:r>
      <w:r w:rsidRPr="002A2AAD">
        <w:rPr>
          <w:rFonts w:ascii="Times New Roman" w:hAnsi="Times New Roman"/>
          <w:b/>
          <w:sz w:val="32"/>
        </w:rPr>
        <w:t xml:space="preserve"> </w:t>
      </w:r>
    </w:p>
    <w:p w:rsidR="00930328" w:rsidRDefault="00DF1DC5" w:rsidP="00930328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</w:t>
      </w:r>
      <w:r w:rsidR="00990F3A" w:rsidRPr="002A2AAD">
        <w:rPr>
          <w:rFonts w:ascii="Times New Roman" w:hAnsi="Times New Roman"/>
          <w:b/>
          <w:sz w:val="32"/>
        </w:rPr>
        <w:t>до проведения публичных обсуждений</w:t>
      </w:r>
      <w:r>
        <w:rPr>
          <w:rFonts w:ascii="Times New Roman" w:hAnsi="Times New Roman"/>
          <w:b/>
          <w:sz w:val="32"/>
        </w:rPr>
        <w:t>)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28" w:rsidRDefault="00930328" w:rsidP="00930328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Вопрос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«Правомерно ли относить арендуемые помещения в зданиях торговых центров к самостоятельным объектам защиты?»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Ответ: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отношении отдельных видов государственного контроля (надзора), федеральными законами могут устанавливаться особенности организации и проведения проверок.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особенности в отношении федерального государственного пожарного надзора установлены статьей 6.1 Федерального закона от 21 декабря 1994 г. N 69-ФЗ "О пожарной безопасности".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Так, предметом проверки является соблюдение на объекте защиты, используемом (эксплуатируемом) организацией в процессе осуществления своей деятельности требований пожарной безопасности.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15 статьи 2 Федерального закона от 04 июля 2008 г. N 123-ФЗ "Технический регламент о требованиях пожарной безопасности" объектом защиты являются здания, сооружения, транспортные средства, технологические устройства, оборудование, агрегаты, изделия и иное имущество, к которым установлены или должны быть установлены требования пожарной безопасности для предотвращения пожара и защиты людей при пожаре.</w:t>
      </w:r>
      <w:proofErr w:type="gramEnd"/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Одновременно, пунктом 43 Административного регламента МЧС России исполнения государственной функции по надзору за выполнением требований пожарной безопасности, утвержденного приказом МЧС России от 30.11.2016 N 644 установлено, что планирование проверок в отношении юридических лиц, индивидуальных предпринимателей, являющихся собственниками (правообладателями) отдельных помещений, групп помещений, этажей отсеков, частей здания, зданий и сооружений в пределах одного объекта защиты, осуществляется отдельно для каждого правообладателя.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период проведения проверок должен быть единым для всех правообладателей, осуществляющих деятельность на таком объекте защиты.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изложенного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проверка в отношении арендуемых помещений как самостоятельных объектов защиты, в том числе в торговых центрах, неправомерна.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Вопрос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На что нужно обращать внимание при выборе огнетушителей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корпусе огнетушителя должно быть указано, для тушения какого класса пожара он предназначен;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Срок эксплуатации, периодичность обслуживания, порядок использования и меры безопасности;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Подтверждение факта сертификации (знаком соответствия, сертификатом и товаросопроводительными документами).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каждый вид огнетушителя оформляется инструкция по применению и техническому обслуживанию, которая в обязательном порядке содержит следующие требования: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марка огнетушителя;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основные параметры огнетушителя;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ограничения по температуре эксплуатации огнетушителя;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действия персонала в случае пожара;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порядок приведения огнетушителя в действие;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основные тактические приемы с огнетушителями при тушении возможного пожара;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действия персонала после тушения пожара;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объем и периодичность проведения технического обслуживания огнетушителей;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правила техники безопасности при использовании и техническом обслуживании огнетушителей.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Вопрос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«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ли вывести сигнал системы «01» не на пульт пожарной части, а в специализированную организацию (компанию), имеющую лицензию МЧС России на это?».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Выведение сигнала о срабатывании систем противопожарной защиты зданий, сооружений без участия персонала объекта и (или) транслирующей этот сигнал организации осуществляется только в пожарно-спасательные подразделения, в соответствии с требованиями Приказа МЧС России от 16.10.2017 № 443,  также возможно выведение данного сигнала в подразделения частной пожарной охраны, созданной в установленном законом порядке, при условии, что данное подразделение создано для обслуживания организации, где требуется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вывод сигнала.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Вопрос № 4. Является ли обращение заявителя в форме электронного документа основанием для организации и проведения внеплановой проверки по линии ФГПН.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Ответ: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 в соответствии с пунктом 2 части 2 статьи 10 Федерального закона от 26.12.2008 N 294-ФЗ "О защите прав юридических лиц и индивидуальных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предпринимателей при осуществлении государственного контроля (надзора) и муниципального контроля".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Вопрос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Необходимость повторного обучения мерам пожарной безопасности работников организаций при реорганизации юридических лиц, а также при переводе работников на другие должности в организации.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Ответ: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реорганизации юридических лиц данный вопрос будет решаться в зависимости от рода деятельности организаций. В случае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обе организации имеют сходный вид деятельности, то повторного обучения не требуется, если организации отличаются по виду деятельности, необходимость повторного обучения по разным программам пожарно-технического минимума обязательна.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Аналогично решается вопрос при переводе работников на новую должность.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по новой должности работника специфика производства, особенности исполнения обязанностей по должности и положения отраслевых документов не изменились, то дополнительное обучение пожарно-техническому минимуму не требуется.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Вопрос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Срок действия заключения органа ФГПН о соответствии объекта защиты требованиям пожарной безопасности.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Ответ: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и постановлением Правительства Российской Федерации от 28.10.2013 N 966 "О лицензировании образовательной деятельности" установлен порядок получения лицензии на осуществление некоторых видов деятельности, включающий, в том числе, получение заключения о соответствии объекта защиты обязательным требованиям пожарной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безопасности. При этом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 действия заключения нормативными правовыми актами Российской Федерации не установлен.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Учитывая, что заключения представляются соискателем лицензии (лицензиатом) в соответствующие лицензирующие органы, сроки давности, принимаемых к рассмотрению заключений определяются решениями указанных лицензирующих органов. Взимание платы за выдачу заключения органами ФГПН не предусмотрено.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28" w:rsidRDefault="00930328" w:rsidP="00930328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28" w:rsidRDefault="00930328" w:rsidP="0093032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ГОСУДАРСТВЕННЫЙ НАДЗОР В ОБЛАСТИ ГРАЖДАНСКОЙ ОБОРОНЫ</w:t>
      </w:r>
    </w:p>
    <w:p w:rsidR="00930328" w:rsidRDefault="00930328" w:rsidP="0093032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0328" w:rsidRDefault="00930328" w:rsidP="00930328">
      <w:pPr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 № 7. Допускается ли выдача предписания с различными сроками выполнения мероприятий.</w:t>
      </w:r>
    </w:p>
    <w:p w:rsidR="00930328" w:rsidRDefault="00930328" w:rsidP="0093032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Ответ: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 учетом характера выявленных нарушений допускается выдача предписаний с различными сроками их устранения.</w:t>
      </w:r>
    </w:p>
    <w:p w:rsidR="00930328" w:rsidRDefault="00930328" w:rsidP="00930328">
      <w:pPr>
        <w:ind w:firstLine="709"/>
        <w:jc w:val="center"/>
        <w:rPr>
          <w:rFonts w:ascii="Arial" w:hAnsi="Arial" w:cs="Arial"/>
          <w:color w:val="505B61"/>
          <w:sz w:val="20"/>
          <w:szCs w:val="20"/>
        </w:rPr>
      </w:pPr>
    </w:p>
    <w:p w:rsidR="00930328" w:rsidRDefault="00930328" w:rsidP="00930328">
      <w:pPr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 № 8. Должны ли проверки по пожарной безопасности и надзору в области гражданской обороны и защиты населения и территорий от чрезвычайных ситуаций проводиться одновременно или могут проводиться в разное время.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Ответ: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на предмет соблюдения требований и мероприятий в области пожарной безопасности, гражданской обороны, защиты населения и территорий от чрезвычайных ситуаций могут проводиться в отношении одного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юридического лица как одновременно, так и в разные сроки с учетом оснований, предусмотренных статьями 9, 10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 и муниципального контроля".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Вместе с тем, надзорными органами МЧС России осуществляются плановые проверки одновременно с учетом соблюдения периодичности, установленной федеральным законодательством. Внеплановые проверки проводятся на основании установленных сроков в выданных предписаниях.</w:t>
      </w:r>
    </w:p>
    <w:p w:rsidR="00930328" w:rsidRDefault="00930328" w:rsidP="00930328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28" w:rsidRDefault="00930328" w:rsidP="00930328">
      <w:pPr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 № 9. Возможно ли использование защитного сооружения гражданской обороны, расположенного под административным зданием под зал для занятий фитнесом, в котором предполагается размещение помещений душевых и саун.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Ответ: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п. 4.5 СП 88.13330.2014 "СНиП II-11-77*. Защитные сооружения гражданской обороны" защитные сооружения допускается использовать для спортивных занятий, в том числе с душевыми.</w:t>
      </w:r>
    </w:p>
    <w:p w:rsidR="00930328" w:rsidRDefault="00930328" w:rsidP="009303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Размещение помещений для саун необходимо согласовать с территориальными органами МЧС России.</w:t>
      </w:r>
    </w:p>
    <w:p w:rsidR="00930328" w:rsidRDefault="00930328" w:rsidP="00930328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3ECB" w:rsidRDefault="00283ECB" w:rsidP="00930328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283ECB" w:rsidSect="0093032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149F"/>
    <w:multiLevelType w:val="hybridMultilevel"/>
    <w:tmpl w:val="7570CCB8"/>
    <w:lvl w:ilvl="0" w:tplc="67860754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3" w:hanging="360"/>
      </w:pPr>
    </w:lvl>
    <w:lvl w:ilvl="2" w:tplc="0419001B" w:tentative="1">
      <w:start w:val="1"/>
      <w:numFmt w:val="lowerRoman"/>
      <w:lvlText w:val="%3."/>
      <w:lvlJc w:val="right"/>
      <w:pPr>
        <w:ind w:left="3293" w:hanging="180"/>
      </w:pPr>
    </w:lvl>
    <w:lvl w:ilvl="3" w:tplc="0419000F" w:tentative="1">
      <w:start w:val="1"/>
      <w:numFmt w:val="decimal"/>
      <w:lvlText w:val="%4."/>
      <w:lvlJc w:val="left"/>
      <w:pPr>
        <w:ind w:left="4013" w:hanging="360"/>
      </w:pPr>
    </w:lvl>
    <w:lvl w:ilvl="4" w:tplc="04190019" w:tentative="1">
      <w:start w:val="1"/>
      <w:numFmt w:val="lowerLetter"/>
      <w:lvlText w:val="%5."/>
      <w:lvlJc w:val="left"/>
      <w:pPr>
        <w:ind w:left="4733" w:hanging="360"/>
      </w:pPr>
    </w:lvl>
    <w:lvl w:ilvl="5" w:tplc="0419001B" w:tentative="1">
      <w:start w:val="1"/>
      <w:numFmt w:val="lowerRoman"/>
      <w:lvlText w:val="%6."/>
      <w:lvlJc w:val="right"/>
      <w:pPr>
        <w:ind w:left="5453" w:hanging="180"/>
      </w:pPr>
    </w:lvl>
    <w:lvl w:ilvl="6" w:tplc="0419000F" w:tentative="1">
      <w:start w:val="1"/>
      <w:numFmt w:val="decimal"/>
      <w:lvlText w:val="%7."/>
      <w:lvlJc w:val="left"/>
      <w:pPr>
        <w:ind w:left="6173" w:hanging="360"/>
      </w:pPr>
    </w:lvl>
    <w:lvl w:ilvl="7" w:tplc="04190019" w:tentative="1">
      <w:start w:val="1"/>
      <w:numFmt w:val="lowerLetter"/>
      <w:lvlText w:val="%8."/>
      <w:lvlJc w:val="left"/>
      <w:pPr>
        <w:ind w:left="6893" w:hanging="360"/>
      </w:pPr>
    </w:lvl>
    <w:lvl w:ilvl="8" w:tplc="0419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">
    <w:nsid w:val="570F20C0"/>
    <w:multiLevelType w:val="hybridMultilevel"/>
    <w:tmpl w:val="63785AB2"/>
    <w:lvl w:ilvl="0" w:tplc="CD4A2D4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A08"/>
    <w:rsid w:val="0003232F"/>
    <w:rsid w:val="00041152"/>
    <w:rsid w:val="000A38AC"/>
    <w:rsid w:val="001304C4"/>
    <w:rsid w:val="00185A08"/>
    <w:rsid w:val="002666C6"/>
    <w:rsid w:val="0028116E"/>
    <w:rsid w:val="00283ECB"/>
    <w:rsid w:val="00285AEE"/>
    <w:rsid w:val="003C02E0"/>
    <w:rsid w:val="003D7BD6"/>
    <w:rsid w:val="003E61E5"/>
    <w:rsid w:val="003E7AF5"/>
    <w:rsid w:val="00503F0E"/>
    <w:rsid w:val="00571AC4"/>
    <w:rsid w:val="00612652"/>
    <w:rsid w:val="006148F7"/>
    <w:rsid w:val="006454C2"/>
    <w:rsid w:val="006822B3"/>
    <w:rsid w:val="00694EA2"/>
    <w:rsid w:val="0070377D"/>
    <w:rsid w:val="007350AE"/>
    <w:rsid w:val="008B5D92"/>
    <w:rsid w:val="00930328"/>
    <w:rsid w:val="00990F3A"/>
    <w:rsid w:val="00A101AD"/>
    <w:rsid w:val="00A2567E"/>
    <w:rsid w:val="00A500A4"/>
    <w:rsid w:val="00A7008E"/>
    <w:rsid w:val="00BC326D"/>
    <w:rsid w:val="00C9498B"/>
    <w:rsid w:val="00D26ACE"/>
    <w:rsid w:val="00D82C7D"/>
    <w:rsid w:val="00DD3BB8"/>
    <w:rsid w:val="00DD45A0"/>
    <w:rsid w:val="00DF1DC5"/>
    <w:rsid w:val="00E10648"/>
    <w:rsid w:val="00E86EE6"/>
    <w:rsid w:val="00E94252"/>
    <w:rsid w:val="00F51485"/>
    <w:rsid w:val="00FC5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08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822B3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F3A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22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6822B3"/>
    <w:rPr>
      <w:color w:val="0000FF"/>
      <w:u w:val="single"/>
    </w:rPr>
  </w:style>
  <w:style w:type="character" w:customStyle="1" w:styleId="blk">
    <w:name w:val="blk"/>
    <w:basedOn w:val="a0"/>
    <w:rsid w:val="006822B3"/>
  </w:style>
  <w:style w:type="character" w:customStyle="1" w:styleId="hl">
    <w:name w:val="hl"/>
    <w:basedOn w:val="a0"/>
    <w:rsid w:val="006822B3"/>
  </w:style>
  <w:style w:type="character" w:customStyle="1" w:styleId="apple-converted-space">
    <w:name w:val="apple-converted-space"/>
    <w:basedOn w:val="a0"/>
    <w:rsid w:val="006822B3"/>
  </w:style>
  <w:style w:type="paragraph" w:customStyle="1" w:styleId="s1">
    <w:name w:val="s_1"/>
    <w:basedOn w:val="a"/>
    <w:rsid w:val="00503F0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6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482F6-B705-4477-8A9D-4328AD58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gpn-oo-j3</dc:creator>
  <cp:lastModifiedBy>777</cp:lastModifiedBy>
  <cp:revision>5</cp:revision>
  <dcterms:created xsi:type="dcterms:W3CDTF">2018-04-26T07:41:00Z</dcterms:created>
  <dcterms:modified xsi:type="dcterms:W3CDTF">2018-11-06T08:05:00Z</dcterms:modified>
</cp:coreProperties>
</file>